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348D1A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石家庄市市容管理考评中心</w:t>
      </w:r>
    </w:p>
    <w:p w14:paraId="0A35F0C6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数字化城市管理运行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经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费项目自评报告</w:t>
      </w:r>
    </w:p>
    <w:p w14:paraId="70B626A7">
      <w:pPr>
        <w:spacing w:line="560" w:lineRule="exact"/>
        <w:ind w:firstLine="640" w:firstLineChars="200"/>
        <w:rPr>
          <w:rFonts w:ascii="仿宋" w:hAnsi="仿宋"/>
          <w:szCs w:val="32"/>
        </w:rPr>
      </w:pPr>
    </w:p>
    <w:p w14:paraId="71A30941">
      <w:pPr>
        <w:spacing w:line="560" w:lineRule="exact"/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根据《石家庄市市级部门项目绩效自评管理办法》（石财绩〔2020〕5号），</w:t>
      </w:r>
      <w:r>
        <w:rPr>
          <w:rFonts w:hint="eastAsia" w:ascii="仿宋" w:hAnsi="仿宋" w:cs="仿宋"/>
          <w:szCs w:val="32"/>
        </w:rPr>
        <w:t>遵循全面覆盖、程序简便、客观公正、公开透明的原则</w:t>
      </w:r>
      <w:r>
        <w:rPr>
          <w:rFonts w:hint="eastAsia" w:ascii="仿宋" w:hAnsi="仿宋"/>
          <w:szCs w:val="32"/>
        </w:rPr>
        <w:t>，</w:t>
      </w:r>
      <w:r>
        <w:rPr>
          <w:rFonts w:ascii="仿宋" w:hAnsi="仿宋"/>
          <w:szCs w:val="32"/>
        </w:rPr>
        <w:t>对</w:t>
      </w:r>
      <w:r>
        <w:rPr>
          <w:rFonts w:hint="eastAsia" w:ascii="仿宋" w:hAnsi="仿宋"/>
          <w:szCs w:val="32"/>
        </w:rPr>
        <w:t>202</w:t>
      </w:r>
      <w:r>
        <w:rPr>
          <w:rFonts w:hint="eastAsia" w:ascii="仿宋" w:hAnsi="仿宋"/>
          <w:szCs w:val="32"/>
          <w:lang w:val="en-US" w:eastAsia="zh-CN"/>
        </w:rPr>
        <w:t>4</w:t>
      </w:r>
      <w:r>
        <w:rPr>
          <w:rFonts w:hint="eastAsia" w:ascii="仿宋" w:hAnsi="仿宋"/>
          <w:szCs w:val="32"/>
        </w:rPr>
        <w:t>年度数字化城市管理运行</w:t>
      </w:r>
      <w:r>
        <w:rPr>
          <w:rFonts w:hint="eastAsia" w:ascii="仿宋" w:hAnsi="仿宋"/>
          <w:szCs w:val="32"/>
          <w:lang w:eastAsia="zh-CN"/>
        </w:rPr>
        <w:t>经</w:t>
      </w:r>
      <w:r>
        <w:rPr>
          <w:rFonts w:hint="eastAsia" w:ascii="仿宋" w:hAnsi="仿宋"/>
          <w:szCs w:val="32"/>
        </w:rPr>
        <w:t>费</w:t>
      </w:r>
      <w:r>
        <w:rPr>
          <w:rFonts w:ascii="仿宋" w:hAnsi="仿宋"/>
          <w:szCs w:val="32"/>
        </w:rPr>
        <w:t>项目财政</w:t>
      </w:r>
      <w:r>
        <w:rPr>
          <w:rFonts w:hint="eastAsia" w:ascii="仿宋" w:hAnsi="仿宋"/>
          <w:szCs w:val="32"/>
        </w:rPr>
        <w:t>资金</w:t>
      </w:r>
      <w:r>
        <w:rPr>
          <w:rFonts w:ascii="仿宋" w:hAnsi="仿宋"/>
          <w:szCs w:val="32"/>
        </w:rPr>
        <w:t>支出绩效</w:t>
      </w:r>
      <w:r>
        <w:rPr>
          <w:rFonts w:hint="eastAsia" w:ascii="仿宋" w:hAnsi="仿宋"/>
          <w:szCs w:val="32"/>
        </w:rPr>
        <w:t>进行</w:t>
      </w:r>
      <w:r>
        <w:rPr>
          <w:rFonts w:ascii="仿宋" w:hAnsi="仿宋"/>
          <w:szCs w:val="32"/>
        </w:rPr>
        <w:t>自</w:t>
      </w:r>
      <w:r>
        <w:rPr>
          <w:rFonts w:hint="eastAsia" w:ascii="仿宋" w:hAnsi="仿宋"/>
          <w:szCs w:val="32"/>
        </w:rPr>
        <w:t>我</w:t>
      </w:r>
      <w:r>
        <w:rPr>
          <w:rFonts w:ascii="仿宋" w:hAnsi="仿宋"/>
          <w:szCs w:val="32"/>
        </w:rPr>
        <w:t>评价，形成本评价报告。</w:t>
      </w:r>
    </w:p>
    <w:p w14:paraId="164DA962">
      <w:pPr>
        <w:spacing w:line="560" w:lineRule="exact"/>
        <w:ind w:firstLine="640" w:firstLineChars="200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一、项目基本情况</w:t>
      </w:r>
    </w:p>
    <w:p w14:paraId="73BBEBFD">
      <w:pPr>
        <w:spacing w:line="560" w:lineRule="exact"/>
        <w:ind w:firstLine="640" w:firstLineChars="200"/>
        <w:rPr>
          <w:rFonts w:hint="eastAsia" w:ascii="楷体" w:hAnsi="楷体" w:eastAsia="楷体" w:cs="楷体"/>
          <w:szCs w:val="32"/>
        </w:rPr>
      </w:pPr>
      <w:r>
        <w:rPr>
          <w:rFonts w:hint="eastAsia" w:ascii="楷体" w:hAnsi="楷体" w:eastAsia="楷体" w:cs="楷体"/>
          <w:szCs w:val="32"/>
        </w:rPr>
        <w:t>（一）项目概况</w:t>
      </w:r>
    </w:p>
    <w:p w14:paraId="66E6D9D6">
      <w:pPr>
        <w:spacing w:line="560" w:lineRule="exact"/>
        <w:ind w:firstLine="640" w:firstLineChars="200"/>
        <w:rPr>
          <w:rFonts w:ascii="仿宋" w:hAnsi="仿宋"/>
          <w:szCs w:val="32"/>
        </w:rPr>
      </w:pPr>
      <w:r>
        <w:rPr>
          <w:rFonts w:ascii="仿宋" w:hAnsi="仿宋"/>
          <w:szCs w:val="32"/>
        </w:rPr>
        <w:t>1.</w:t>
      </w:r>
      <w:r>
        <w:rPr>
          <w:rFonts w:hint="eastAsia" w:ascii="仿宋" w:hAnsi="仿宋"/>
          <w:szCs w:val="32"/>
        </w:rPr>
        <w:t>项目名称：数字化城市管理运行</w:t>
      </w:r>
      <w:r>
        <w:rPr>
          <w:rFonts w:hint="eastAsia" w:ascii="仿宋" w:hAnsi="仿宋"/>
          <w:szCs w:val="32"/>
          <w:lang w:eastAsia="zh-CN"/>
        </w:rPr>
        <w:t>经</w:t>
      </w:r>
      <w:r>
        <w:rPr>
          <w:rFonts w:hint="eastAsia" w:ascii="仿宋" w:hAnsi="仿宋"/>
          <w:szCs w:val="32"/>
        </w:rPr>
        <w:t>费</w:t>
      </w:r>
    </w:p>
    <w:p w14:paraId="616BCA43">
      <w:pPr>
        <w:spacing w:line="560" w:lineRule="exact"/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实施主管单位：石家庄市市容管理考评中心</w:t>
      </w:r>
    </w:p>
    <w:p w14:paraId="23DD5B2A">
      <w:pPr>
        <w:spacing w:line="560" w:lineRule="exact"/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专项资金（项目）周期：202</w:t>
      </w:r>
      <w:r>
        <w:rPr>
          <w:rFonts w:hint="eastAsia" w:ascii="仿宋" w:hAnsi="仿宋"/>
          <w:szCs w:val="32"/>
          <w:lang w:val="en-US" w:eastAsia="zh-CN"/>
        </w:rPr>
        <w:t>4</w:t>
      </w:r>
      <w:r>
        <w:rPr>
          <w:rFonts w:hint="eastAsia" w:ascii="仿宋" w:hAnsi="仿宋"/>
          <w:szCs w:val="32"/>
        </w:rPr>
        <w:t>年</w:t>
      </w:r>
    </w:p>
    <w:p w14:paraId="4871BCBC">
      <w:pPr>
        <w:spacing w:line="560" w:lineRule="exact"/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监控时点：202</w:t>
      </w:r>
      <w:r>
        <w:rPr>
          <w:rFonts w:hint="eastAsia" w:ascii="仿宋" w:hAnsi="仿宋"/>
          <w:szCs w:val="32"/>
          <w:lang w:val="en-US" w:eastAsia="zh-CN"/>
        </w:rPr>
        <w:t>4</w:t>
      </w:r>
      <w:r>
        <w:rPr>
          <w:rFonts w:hint="eastAsia" w:ascii="仿宋" w:hAnsi="仿宋"/>
          <w:szCs w:val="32"/>
        </w:rPr>
        <w:t>年1-12月</w:t>
      </w:r>
    </w:p>
    <w:p w14:paraId="21CD78B9">
      <w:pPr>
        <w:spacing w:line="560" w:lineRule="exact"/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预算数</w:t>
      </w:r>
      <w:r>
        <w:rPr>
          <w:rFonts w:hint="eastAsia" w:ascii="仿宋" w:hAnsi="仿宋"/>
          <w:szCs w:val="32"/>
          <w:lang w:eastAsia="zh-CN"/>
        </w:rPr>
        <w:t>（调整后）</w:t>
      </w:r>
      <w:r>
        <w:rPr>
          <w:rFonts w:hint="eastAsia" w:ascii="仿宋" w:hAnsi="仿宋"/>
          <w:szCs w:val="32"/>
        </w:rPr>
        <w:t>：1114.</w:t>
      </w:r>
      <w:r>
        <w:rPr>
          <w:rFonts w:hint="eastAsia" w:ascii="仿宋" w:hAnsi="仿宋"/>
          <w:szCs w:val="32"/>
          <w:lang w:val="en-US" w:eastAsia="zh-CN"/>
        </w:rPr>
        <w:t>11</w:t>
      </w:r>
      <w:r>
        <w:rPr>
          <w:rFonts w:hint="eastAsia" w:ascii="仿宋" w:hAnsi="仿宋"/>
          <w:szCs w:val="32"/>
        </w:rPr>
        <w:t>万元</w:t>
      </w:r>
    </w:p>
    <w:p w14:paraId="44479F76">
      <w:pPr>
        <w:spacing w:line="560" w:lineRule="exact"/>
        <w:ind w:firstLine="640" w:firstLineChars="200"/>
        <w:rPr>
          <w:rFonts w:ascii="仿宋" w:hAnsi="仿宋"/>
          <w:szCs w:val="32"/>
        </w:rPr>
      </w:pPr>
      <w:r>
        <w:rPr>
          <w:rFonts w:ascii="仿宋" w:hAnsi="仿宋"/>
          <w:szCs w:val="32"/>
        </w:rPr>
        <w:t>2.项目主要实施内容和范围；</w:t>
      </w:r>
    </w:p>
    <w:p w14:paraId="73876771">
      <w:pPr>
        <w:spacing w:line="560" w:lineRule="exact"/>
        <w:ind w:firstLine="640" w:firstLineChars="200"/>
        <w:rPr>
          <w:rFonts w:hint="eastAsia" w:ascii="仿宋" w:hAnsi="仿宋"/>
          <w:spacing w:val="4"/>
          <w:szCs w:val="32"/>
        </w:rPr>
      </w:pPr>
      <w:r>
        <w:rPr>
          <w:rFonts w:hint="eastAsia" w:ascii="仿宋" w:hAnsi="仿宋"/>
          <w:szCs w:val="32"/>
        </w:rPr>
        <w:t>实施内容：</w:t>
      </w:r>
      <w:r>
        <w:rPr>
          <w:rFonts w:hint="eastAsia" w:ascii="仿宋" w:hAnsi="仿宋"/>
          <w:spacing w:val="4"/>
          <w:szCs w:val="32"/>
        </w:rPr>
        <w:t>石家庄市主城四区及藁城区、鹿泉区、栾城区、高新区、正定县区域内，数字化城市管理事、部件问题采集上报、立案派遣、处置核查和普查统计工作。</w:t>
      </w:r>
    </w:p>
    <w:p w14:paraId="27B44D0D">
      <w:pPr>
        <w:spacing w:line="560" w:lineRule="exact"/>
        <w:ind w:firstLine="656" w:firstLineChars="200"/>
        <w:rPr>
          <w:rFonts w:hint="eastAsia" w:ascii="仿宋" w:hAnsi="仿宋"/>
          <w:spacing w:val="4"/>
          <w:szCs w:val="32"/>
        </w:rPr>
      </w:pPr>
      <w:r>
        <w:rPr>
          <w:rFonts w:hint="eastAsia" w:ascii="仿宋" w:hAnsi="仿宋"/>
          <w:spacing w:val="4"/>
          <w:szCs w:val="32"/>
        </w:rPr>
        <w:t>实施范围：石家庄市数字城管覆盖市区建成区343.4平方公里，范围内的1498条路段1253.19千米。</w:t>
      </w:r>
    </w:p>
    <w:p w14:paraId="7061D209">
      <w:pPr>
        <w:spacing w:line="560" w:lineRule="exact"/>
        <w:ind w:firstLine="640" w:firstLineChars="200"/>
        <w:rPr>
          <w:rFonts w:ascii="仿宋" w:hAnsi="仿宋"/>
          <w:szCs w:val="32"/>
        </w:rPr>
      </w:pPr>
      <w:r>
        <w:rPr>
          <w:rFonts w:ascii="仿宋" w:hAnsi="仿宋"/>
          <w:szCs w:val="32"/>
        </w:rPr>
        <w:t>3.项目资金投入情况</w:t>
      </w:r>
    </w:p>
    <w:p w14:paraId="75913E7A">
      <w:pPr>
        <w:spacing w:line="560" w:lineRule="exact"/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资金</w:t>
      </w:r>
      <w:r>
        <w:rPr>
          <w:rFonts w:hint="eastAsia" w:ascii="仿宋" w:hAnsi="仿宋"/>
          <w:szCs w:val="32"/>
          <w:lang w:eastAsia="zh-CN"/>
        </w:rPr>
        <w:t>执行</w:t>
      </w:r>
      <w:r>
        <w:rPr>
          <w:rFonts w:hint="eastAsia" w:ascii="仿宋" w:hAnsi="仿宋"/>
          <w:szCs w:val="32"/>
        </w:rPr>
        <w:t>数量：</w:t>
      </w:r>
      <w:r>
        <w:rPr>
          <w:rFonts w:hint="eastAsia" w:ascii="仿宋" w:hAnsi="仿宋"/>
          <w:szCs w:val="32"/>
          <w:lang w:val="en-US" w:eastAsia="zh-CN"/>
        </w:rPr>
        <w:t>1109.38</w:t>
      </w:r>
      <w:r>
        <w:rPr>
          <w:rFonts w:hint="eastAsia" w:ascii="仿宋" w:hAnsi="仿宋"/>
          <w:szCs w:val="32"/>
        </w:rPr>
        <w:t>万元</w:t>
      </w:r>
    </w:p>
    <w:p w14:paraId="2B7365D3">
      <w:pPr>
        <w:spacing w:line="560" w:lineRule="exact"/>
        <w:ind w:firstLine="640" w:firstLineChars="200"/>
        <w:rPr>
          <w:rFonts w:hint="eastAsia" w:ascii="仿宋" w:hAnsi="仿宋" w:eastAsia="仿宋"/>
          <w:szCs w:val="32"/>
          <w:lang w:eastAsia="zh-CN"/>
        </w:rPr>
      </w:pPr>
      <w:r>
        <w:rPr>
          <w:rFonts w:hint="eastAsia" w:ascii="仿宋" w:hAnsi="仿宋"/>
          <w:szCs w:val="32"/>
        </w:rPr>
        <w:t>资金结构：财政</w:t>
      </w:r>
      <w:r>
        <w:rPr>
          <w:rFonts w:hint="eastAsia" w:ascii="仿宋" w:hAnsi="仿宋"/>
          <w:szCs w:val="32"/>
          <w:lang w:eastAsia="zh-CN"/>
        </w:rPr>
        <w:t>拨款</w:t>
      </w:r>
    </w:p>
    <w:p w14:paraId="11AE3A3A">
      <w:pPr>
        <w:spacing w:line="560" w:lineRule="exact"/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资金来源：财政预算资金</w:t>
      </w:r>
    </w:p>
    <w:p w14:paraId="28A6B835">
      <w:pPr>
        <w:spacing w:line="560" w:lineRule="exact"/>
        <w:ind w:firstLine="640" w:firstLineChars="200"/>
        <w:rPr>
          <w:rFonts w:hint="eastAsia" w:ascii="楷体" w:hAnsi="楷体" w:eastAsia="楷体" w:cs="楷体"/>
          <w:szCs w:val="32"/>
        </w:rPr>
      </w:pPr>
      <w:r>
        <w:rPr>
          <w:rFonts w:hint="eastAsia" w:ascii="楷体" w:hAnsi="楷体" w:eastAsia="楷体" w:cs="楷体"/>
          <w:szCs w:val="32"/>
        </w:rPr>
        <w:t>（二）项目预期绩效目标</w:t>
      </w:r>
    </w:p>
    <w:p w14:paraId="3E959DC2">
      <w:pPr>
        <w:spacing w:line="560" w:lineRule="exact"/>
        <w:ind w:firstLine="640" w:firstLineChars="200"/>
        <w:rPr>
          <w:rFonts w:hint="eastAsia" w:ascii="仿宋" w:hAnsi="仿宋"/>
          <w:szCs w:val="32"/>
        </w:rPr>
      </w:pPr>
      <w:r>
        <w:rPr>
          <w:rFonts w:hint="eastAsia" w:ascii="仿宋" w:hAnsi="仿宋"/>
          <w:szCs w:val="32"/>
          <w:lang w:val="en-US" w:eastAsia="zh-CN"/>
        </w:rPr>
        <w:t>1.</w:t>
      </w:r>
      <w:r>
        <w:rPr>
          <w:rFonts w:hint="eastAsia" w:ascii="仿宋" w:hAnsi="仿宋"/>
          <w:szCs w:val="32"/>
        </w:rPr>
        <w:t>预期</w:t>
      </w:r>
      <w:r>
        <w:rPr>
          <w:rFonts w:hint="eastAsia" w:ascii="仿宋" w:hAnsi="仿宋"/>
          <w:szCs w:val="32"/>
          <w:lang w:val="en-US" w:eastAsia="zh-CN"/>
        </w:rPr>
        <w:t>绩效总</w:t>
      </w:r>
      <w:r>
        <w:rPr>
          <w:rFonts w:hint="eastAsia" w:ascii="仿宋" w:hAnsi="仿宋"/>
          <w:szCs w:val="32"/>
        </w:rPr>
        <w:t>目标</w:t>
      </w:r>
    </w:p>
    <w:p w14:paraId="7143074C">
      <w:pPr>
        <w:spacing w:line="560" w:lineRule="exact"/>
        <w:ind w:firstLine="640" w:firstLineChars="200"/>
        <w:rPr>
          <w:rFonts w:hint="eastAsia" w:ascii="仿宋" w:hAnsi="仿宋"/>
          <w:szCs w:val="32"/>
        </w:rPr>
      </w:pPr>
      <w:r>
        <w:rPr>
          <w:rFonts w:hint="eastAsia" w:ascii="仿宋" w:hAnsi="仿宋"/>
          <w:szCs w:val="32"/>
        </w:rPr>
        <w:t>最大限度发挥采集队伍工作效能，通过监督巡查，及时发现上报各类城市管理问题，避免恶性事件发生；利用采集队伍街面巡查工作便利，开展各类城市管理问题专项普查，节约财政资金。</w:t>
      </w:r>
    </w:p>
    <w:p w14:paraId="7EC93564">
      <w:pPr>
        <w:spacing w:line="560" w:lineRule="exact"/>
        <w:ind w:firstLine="640" w:firstLineChars="200"/>
        <w:rPr>
          <w:rFonts w:hint="eastAsia" w:ascii="仿宋" w:hAnsi="仿宋"/>
          <w:szCs w:val="32"/>
          <w:lang w:val="en-US" w:eastAsia="zh-CN"/>
        </w:rPr>
      </w:pPr>
      <w:r>
        <w:rPr>
          <w:rFonts w:hint="eastAsia" w:ascii="仿宋" w:hAnsi="仿宋"/>
          <w:szCs w:val="32"/>
          <w:lang w:val="en-US" w:eastAsia="zh-CN"/>
        </w:rPr>
        <w:t>2.年度绩效指标</w:t>
      </w:r>
    </w:p>
    <w:p w14:paraId="5E4722A9">
      <w:pPr>
        <w:spacing w:line="560" w:lineRule="exact"/>
        <w:ind w:firstLine="640" w:firstLineChars="200"/>
        <w:rPr>
          <w:rFonts w:hint="eastAsia" w:ascii="仿宋" w:hAnsi="仿宋"/>
          <w:szCs w:val="32"/>
          <w:lang w:val="en-US" w:eastAsia="zh-CN"/>
        </w:rPr>
      </w:pPr>
      <w:r>
        <w:rPr>
          <w:rFonts w:hint="eastAsia" w:ascii="仿宋" w:hAnsi="仿宋"/>
          <w:szCs w:val="32"/>
          <w:lang w:val="en-US" w:eastAsia="zh-CN"/>
        </w:rPr>
        <w:t>（1）产出指标</w:t>
      </w:r>
    </w:p>
    <w:p w14:paraId="1D59214A">
      <w:pPr>
        <w:spacing w:line="560" w:lineRule="exact"/>
        <w:ind w:firstLine="640" w:firstLineChars="200"/>
        <w:rPr>
          <w:rFonts w:hint="eastAsia" w:ascii="仿宋" w:hAnsi="仿宋"/>
          <w:szCs w:val="32"/>
          <w:lang w:val="en-US" w:eastAsia="zh-CN"/>
        </w:rPr>
      </w:pPr>
      <w:r>
        <w:rPr>
          <w:rFonts w:hint="eastAsia" w:ascii="仿宋" w:hAnsi="仿宋"/>
          <w:szCs w:val="32"/>
          <w:lang w:val="en-US" w:eastAsia="zh-CN"/>
        </w:rPr>
        <w:t>1）数量指标</w:t>
      </w:r>
    </w:p>
    <w:p w14:paraId="684BFF4C">
      <w:pPr>
        <w:spacing w:line="560" w:lineRule="exact"/>
        <w:ind w:firstLine="640" w:firstLineChars="200"/>
        <w:rPr>
          <w:rFonts w:hint="eastAsia" w:ascii="仿宋" w:hAnsi="仿宋"/>
          <w:szCs w:val="32"/>
          <w:lang w:val="en-US" w:eastAsia="zh-CN"/>
        </w:rPr>
      </w:pPr>
      <w:r>
        <w:rPr>
          <w:rFonts w:hint="eastAsia" w:ascii="仿宋" w:hAnsi="仿宋"/>
          <w:szCs w:val="32"/>
          <w:lang w:val="en-US" w:eastAsia="zh-CN"/>
        </w:rPr>
        <w:t>日均上报案卷量≥3000件，日常巡查频次≥2次，日巡查长度≥7公里，日巡查人次≥385人，线路维护服务次数≥2次。</w:t>
      </w:r>
    </w:p>
    <w:p w14:paraId="7F7875BF">
      <w:pPr>
        <w:spacing w:line="560" w:lineRule="exact"/>
        <w:ind w:firstLine="640" w:firstLineChars="200"/>
        <w:rPr>
          <w:rFonts w:hint="eastAsia" w:ascii="仿宋" w:hAnsi="仿宋"/>
          <w:szCs w:val="32"/>
          <w:lang w:val="en-US" w:eastAsia="zh-CN"/>
        </w:rPr>
      </w:pPr>
      <w:r>
        <w:rPr>
          <w:rFonts w:hint="eastAsia" w:ascii="仿宋" w:hAnsi="仿宋"/>
          <w:szCs w:val="32"/>
          <w:lang w:val="en-US" w:eastAsia="zh-CN"/>
        </w:rPr>
        <w:t>2）质量指标</w:t>
      </w:r>
    </w:p>
    <w:p w14:paraId="6AB97FDB">
      <w:pPr>
        <w:spacing w:line="560" w:lineRule="exact"/>
        <w:ind w:firstLine="640" w:firstLineChars="200"/>
        <w:rPr>
          <w:rFonts w:hint="eastAsia" w:ascii="仿宋" w:hAnsi="仿宋"/>
          <w:szCs w:val="32"/>
          <w:lang w:val="en-US" w:eastAsia="zh-CN"/>
        </w:rPr>
      </w:pPr>
      <w:r>
        <w:rPr>
          <w:rFonts w:hint="eastAsia" w:ascii="仿宋" w:hAnsi="仿宋"/>
          <w:szCs w:val="32"/>
          <w:lang w:val="en-US" w:eastAsia="zh-CN"/>
        </w:rPr>
        <w:t>故障次数≤3次，购置设备验收通过率=100%。</w:t>
      </w:r>
    </w:p>
    <w:p w14:paraId="1A4042C8">
      <w:pPr>
        <w:spacing w:line="560" w:lineRule="exact"/>
        <w:ind w:firstLine="640" w:firstLineChars="200"/>
        <w:rPr>
          <w:rFonts w:hint="eastAsia" w:ascii="仿宋" w:hAnsi="仿宋"/>
          <w:szCs w:val="32"/>
          <w:lang w:val="en-US" w:eastAsia="zh-CN"/>
        </w:rPr>
      </w:pPr>
      <w:r>
        <w:rPr>
          <w:rFonts w:hint="eastAsia" w:ascii="仿宋" w:hAnsi="仿宋"/>
          <w:szCs w:val="32"/>
          <w:lang w:val="en-US" w:eastAsia="zh-CN"/>
        </w:rPr>
        <w:t>3）时效指标</w:t>
      </w:r>
    </w:p>
    <w:p w14:paraId="2B8F30AB">
      <w:pPr>
        <w:spacing w:line="560" w:lineRule="exact"/>
        <w:ind w:firstLine="640" w:firstLineChars="200"/>
        <w:rPr>
          <w:rFonts w:hint="eastAsia" w:ascii="仿宋" w:hAnsi="仿宋"/>
          <w:szCs w:val="32"/>
          <w:lang w:val="en-US" w:eastAsia="zh-CN"/>
        </w:rPr>
      </w:pPr>
      <w:r>
        <w:rPr>
          <w:rFonts w:hint="eastAsia" w:ascii="仿宋" w:hAnsi="仿宋"/>
          <w:szCs w:val="32"/>
          <w:lang w:val="en-US" w:eastAsia="zh-CN"/>
        </w:rPr>
        <w:t>专项普查按时完成率≥95%。</w:t>
      </w:r>
    </w:p>
    <w:p w14:paraId="0D009A7C">
      <w:pPr>
        <w:spacing w:line="560" w:lineRule="exact"/>
        <w:ind w:firstLine="640" w:firstLineChars="200"/>
        <w:rPr>
          <w:rFonts w:hint="eastAsia" w:ascii="仿宋" w:hAnsi="仿宋"/>
          <w:szCs w:val="32"/>
          <w:lang w:val="en-US" w:eastAsia="zh-CN"/>
        </w:rPr>
      </w:pPr>
      <w:r>
        <w:rPr>
          <w:rFonts w:hint="eastAsia" w:ascii="仿宋" w:hAnsi="仿宋"/>
          <w:szCs w:val="32"/>
          <w:lang w:val="en-US" w:eastAsia="zh-CN"/>
        </w:rPr>
        <w:t>4）成本指标</w:t>
      </w:r>
    </w:p>
    <w:p w14:paraId="6F718D51">
      <w:pPr>
        <w:spacing w:line="560" w:lineRule="exact"/>
        <w:ind w:firstLine="640" w:firstLineChars="200"/>
        <w:rPr>
          <w:rFonts w:hint="default" w:ascii="仿宋" w:hAnsi="仿宋"/>
          <w:szCs w:val="32"/>
          <w:lang w:val="en-US" w:eastAsia="zh-CN"/>
        </w:rPr>
      </w:pPr>
      <w:r>
        <w:rPr>
          <w:rFonts w:hint="eastAsia" w:ascii="仿宋" w:hAnsi="仿宋"/>
          <w:szCs w:val="32"/>
          <w:lang w:val="en-US" w:eastAsia="zh-CN"/>
        </w:rPr>
        <w:t>预算成本≤1127.21万元。</w:t>
      </w:r>
    </w:p>
    <w:p w14:paraId="3B4CEBFC">
      <w:pPr>
        <w:spacing w:line="560" w:lineRule="exact"/>
        <w:ind w:firstLine="640" w:firstLineChars="200"/>
        <w:rPr>
          <w:rFonts w:hint="eastAsia" w:ascii="仿宋" w:hAnsi="仿宋"/>
          <w:szCs w:val="32"/>
          <w:lang w:val="en-US" w:eastAsia="zh-CN"/>
        </w:rPr>
      </w:pPr>
      <w:r>
        <w:rPr>
          <w:rFonts w:hint="eastAsia" w:ascii="仿宋" w:hAnsi="仿宋"/>
          <w:szCs w:val="32"/>
          <w:lang w:val="en-US" w:eastAsia="zh-CN"/>
        </w:rPr>
        <w:t>（2）效益指标</w:t>
      </w:r>
    </w:p>
    <w:p w14:paraId="391F33D7">
      <w:pPr>
        <w:spacing w:line="560" w:lineRule="exact"/>
        <w:ind w:firstLine="640" w:firstLineChars="200"/>
        <w:rPr>
          <w:rFonts w:hint="default" w:ascii="仿宋" w:hAnsi="仿宋"/>
          <w:szCs w:val="32"/>
          <w:lang w:val="en-US" w:eastAsia="zh-CN"/>
        </w:rPr>
      </w:pPr>
      <w:r>
        <w:rPr>
          <w:rFonts w:hint="eastAsia" w:ascii="仿宋" w:hAnsi="仿宋"/>
          <w:szCs w:val="32"/>
          <w:lang w:val="en-US" w:eastAsia="zh-CN"/>
        </w:rPr>
        <w:t>社会效益指标，数字城管巡查采集工作水平，较上年有所提高。</w:t>
      </w:r>
    </w:p>
    <w:p w14:paraId="64BB7F8E">
      <w:pPr>
        <w:spacing w:line="560" w:lineRule="exact"/>
        <w:ind w:firstLine="640" w:firstLineChars="200"/>
        <w:rPr>
          <w:rFonts w:hint="eastAsia" w:ascii="仿宋" w:hAnsi="仿宋"/>
          <w:szCs w:val="32"/>
          <w:lang w:val="en-US" w:eastAsia="zh-CN"/>
        </w:rPr>
      </w:pPr>
      <w:r>
        <w:rPr>
          <w:rFonts w:hint="eastAsia" w:ascii="仿宋" w:hAnsi="仿宋"/>
          <w:szCs w:val="32"/>
          <w:lang w:val="en-US" w:eastAsia="zh-CN"/>
        </w:rPr>
        <w:t>（3）满意度指标</w:t>
      </w:r>
    </w:p>
    <w:p w14:paraId="1F4928B6">
      <w:pPr>
        <w:spacing w:line="560" w:lineRule="exact"/>
        <w:ind w:firstLine="640" w:firstLineChars="200"/>
        <w:rPr>
          <w:rFonts w:hint="default" w:ascii="仿宋" w:hAnsi="仿宋"/>
          <w:szCs w:val="32"/>
          <w:lang w:val="en-US" w:eastAsia="zh-CN"/>
        </w:rPr>
      </w:pPr>
      <w:r>
        <w:rPr>
          <w:rFonts w:hint="default" w:ascii="仿宋" w:hAnsi="仿宋"/>
          <w:szCs w:val="32"/>
          <w:lang w:val="en-US" w:eastAsia="zh-CN"/>
        </w:rPr>
        <w:t>服务对象满意率≥85%</w:t>
      </w:r>
      <w:r>
        <w:rPr>
          <w:rFonts w:hint="eastAsia" w:ascii="仿宋" w:hAnsi="仿宋"/>
          <w:szCs w:val="32"/>
          <w:lang w:val="en-US" w:eastAsia="zh-CN"/>
        </w:rPr>
        <w:t>。</w:t>
      </w:r>
    </w:p>
    <w:p w14:paraId="7E556D3D">
      <w:pPr>
        <w:spacing w:line="560" w:lineRule="exact"/>
        <w:ind w:firstLine="640" w:firstLineChars="200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二、自评工作情况</w:t>
      </w:r>
    </w:p>
    <w:p w14:paraId="77400A85">
      <w:pPr>
        <w:spacing w:line="560" w:lineRule="exact"/>
        <w:ind w:firstLine="640" w:firstLineChars="200"/>
        <w:rPr>
          <w:rFonts w:hint="eastAsia" w:ascii="楷体" w:hAnsi="楷体" w:eastAsia="楷体" w:cs="楷体"/>
          <w:szCs w:val="32"/>
        </w:rPr>
      </w:pPr>
      <w:r>
        <w:rPr>
          <w:rFonts w:hint="eastAsia" w:ascii="楷体" w:hAnsi="楷体" w:eastAsia="楷体" w:cs="楷体"/>
          <w:szCs w:val="32"/>
        </w:rPr>
        <w:t>（一）自评的组织工作</w:t>
      </w:r>
    </w:p>
    <w:p w14:paraId="4360DA53">
      <w:pPr>
        <w:spacing w:line="560" w:lineRule="exact"/>
        <w:ind w:firstLine="640" w:firstLineChars="200"/>
        <w:rPr>
          <w:rFonts w:ascii="仿宋" w:hAnsi="仿宋"/>
          <w:spacing w:val="4"/>
          <w:szCs w:val="32"/>
        </w:rPr>
      </w:pPr>
      <w:r>
        <w:rPr>
          <w:rFonts w:hint="eastAsia" w:ascii="仿宋" w:hAnsi="仿宋"/>
          <w:szCs w:val="32"/>
        </w:rPr>
        <w:t>为做好该项目财政支出绩效评价报告，</w:t>
      </w:r>
      <w:r>
        <w:rPr>
          <w:rFonts w:hint="eastAsia" w:ascii="仿宋" w:hAnsi="仿宋"/>
          <w:szCs w:val="32"/>
          <w:highlight w:val="none"/>
        </w:rPr>
        <w:t>中心成立了由财务人事科牵头，信息管理科、县区考评科、监督员管理科等相关部门参加的绩效评价工作小组。其中，信息管理科负责调取、提供数字城管监督指挥系统平台运行数据，监督员管理科、县区考评科分别负责收集、提供主城区二环内和二环外、</w:t>
      </w:r>
      <w:r>
        <w:rPr>
          <w:rFonts w:hint="eastAsia" w:ascii="仿宋" w:hAnsi="仿宋"/>
          <w:spacing w:val="4"/>
          <w:szCs w:val="32"/>
          <w:highlight w:val="none"/>
        </w:rPr>
        <w:t>藁城区、鹿泉区、栾城区、高新区、正定县数字城管(监督员、信息采集员)相关工作数据。财务人事科结合项目资金支出情况，负责</w:t>
      </w:r>
      <w:r>
        <w:rPr>
          <w:rFonts w:hint="eastAsia" w:ascii="仿宋" w:hAnsi="仿宋"/>
          <w:spacing w:val="4"/>
          <w:szCs w:val="32"/>
        </w:rPr>
        <w:t>梳理、汇总各口数据，统筹指导做出相关评价。</w:t>
      </w:r>
    </w:p>
    <w:p w14:paraId="3837B8F7">
      <w:pPr>
        <w:spacing w:line="560" w:lineRule="exact"/>
        <w:ind w:firstLine="640" w:firstLineChars="200"/>
        <w:rPr>
          <w:rFonts w:hint="eastAsia" w:ascii="楷体" w:hAnsi="楷体" w:eastAsia="楷体" w:cs="楷体"/>
          <w:szCs w:val="32"/>
        </w:rPr>
      </w:pPr>
      <w:r>
        <w:rPr>
          <w:rFonts w:hint="eastAsia" w:ascii="楷体" w:hAnsi="楷体" w:eastAsia="楷体" w:cs="楷体"/>
          <w:szCs w:val="32"/>
        </w:rPr>
        <w:t>（二）自评的方法和过程</w:t>
      </w:r>
    </w:p>
    <w:p w14:paraId="3DADE49A">
      <w:pPr>
        <w:spacing w:line="560" w:lineRule="exact"/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自评工作，以系统生成数据为基础，结合数字城管信息采集员具体工作情况，如日常出勤考勤记录、简易案件处置和好人好事记录、平时市民对数字城管信息采集员评价反映等情况，以及项目资金支出情况和单项节约资金情况，综合做出评价。</w:t>
      </w:r>
    </w:p>
    <w:p w14:paraId="570D0B28">
      <w:pPr>
        <w:spacing w:line="560" w:lineRule="exact"/>
        <w:ind w:firstLine="640" w:firstLineChars="200"/>
        <w:rPr>
          <w:rFonts w:hint="eastAsia" w:ascii="楷体" w:hAnsi="楷体" w:eastAsia="楷体" w:cs="楷体"/>
          <w:szCs w:val="32"/>
        </w:rPr>
      </w:pPr>
      <w:r>
        <w:rPr>
          <w:rFonts w:hint="eastAsia" w:ascii="楷体" w:hAnsi="楷体" w:eastAsia="楷体" w:cs="楷体"/>
          <w:szCs w:val="32"/>
        </w:rPr>
        <w:t>（三）建立绩效评价指标体系</w:t>
      </w:r>
    </w:p>
    <w:p w14:paraId="1F2E338C">
      <w:pPr>
        <w:spacing w:line="560" w:lineRule="exact"/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结合数字城管工作运行特点，绩效评价工作小组经过研究，设定该项目绩效评价指标体系，包括</w:t>
      </w:r>
      <w:r>
        <w:rPr>
          <w:rFonts w:hint="eastAsia" w:ascii="仿宋" w:hAnsi="仿宋" w:cs="仿宋"/>
          <w:kern w:val="0"/>
          <w:szCs w:val="32"/>
        </w:rPr>
        <w:t>预算执行率指标、产出指标、效益指标、满意度指标</w:t>
      </w:r>
      <w:r>
        <w:rPr>
          <w:rFonts w:hint="eastAsia" w:ascii="仿宋" w:hAnsi="仿宋"/>
          <w:szCs w:val="32"/>
        </w:rPr>
        <w:t>4个一级指标，</w:t>
      </w:r>
      <w:r>
        <w:rPr>
          <w:rFonts w:hint="eastAsia" w:ascii="仿宋" w:hAnsi="仿宋" w:cs="仿宋"/>
          <w:kern w:val="0"/>
          <w:szCs w:val="32"/>
        </w:rPr>
        <w:t>数量指标、质量指标、实效指标、成本指标、预算执行率</w:t>
      </w:r>
      <w:r>
        <w:rPr>
          <w:rFonts w:hint="eastAsia" w:ascii="仿宋" w:hAnsi="仿宋" w:cs="仿宋"/>
          <w:kern w:val="0"/>
          <w:szCs w:val="32"/>
          <w:lang w:val="en-US" w:eastAsia="zh-CN"/>
        </w:rPr>
        <w:t>、</w:t>
      </w:r>
      <w:r>
        <w:rPr>
          <w:rFonts w:hint="eastAsia" w:ascii="仿宋" w:hAnsi="仿宋" w:cs="仿宋"/>
          <w:kern w:val="0"/>
          <w:szCs w:val="32"/>
        </w:rPr>
        <w:t>社会效益、社会满意度等</w:t>
      </w:r>
      <w:r>
        <w:rPr>
          <w:rFonts w:hint="eastAsia" w:ascii="仿宋" w:hAnsi="仿宋" w:cs="仿宋"/>
          <w:kern w:val="0"/>
          <w:szCs w:val="32"/>
          <w:lang w:val="en-US" w:eastAsia="zh-CN"/>
        </w:rPr>
        <w:t>7</w:t>
      </w:r>
      <w:r>
        <w:rPr>
          <w:rFonts w:hint="eastAsia" w:ascii="仿宋" w:hAnsi="仿宋" w:cs="仿宋"/>
          <w:kern w:val="0"/>
          <w:szCs w:val="32"/>
        </w:rPr>
        <w:t>个二级指标及日均巡查频次、日均上报案件量等1</w:t>
      </w:r>
      <w:r>
        <w:rPr>
          <w:rFonts w:hint="eastAsia" w:ascii="仿宋" w:hAnsi="仿宋" w:cs="仿宋"/>
          <w:kern w:val="0"/>
          <w:szCs w:val="32"/>
          <w:lang w:val="en-US" w:eastAsia="zh-CN"/>
        </w:rPr>
        <w:t>2</w:t>
      </w:r>
      <w:r>
        <w:rPr>
          <w:rFonts w:hint="eastAsia" w:ascii="仿宋" w:hAnsi="仿宋" w:cs="仿宋"/>
          <w:kern w:val="0"/>
          <w:szCs w:val="32"/>
        </w:rPr>
        <w:t>个三级指标，并分别设定不同分值。</w:t>
      </w:r>
    </w:p>
    <w:p w14:paraId="1C976774">
      <w:pPr>
        <w:spacing w:line="560" w:lineRule="exact"/>
        <w:ind w:firstLine="640" w:firstLineChars="200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三、项目执行及绩效实现情况</w:t>
      </w:r>
    </w:p>
    <w:p w14:paraId="0C02423F">
      <w:pPr>
        <w:spacing w:line="560" w:lineRule="exact"/>
        <w:ind w:firstLine="640" w:firstLineChars="200"/>
        <w:rPr>
          <w:rFonts w:hint="eastAsia" w:ascii="仿宋" w:hAnsi="仿宋"/>
          <w:szCs w:val="32"/>
        </w:rPr>
      </w:pPr>
      <w:r>
        <w:rPr>
          <w:rFonts w:hint="eastAsia" w:ascii="楷体" w:hAnsi="楷体" w:eastAsia="楷体" w:cs="楷体"/>
          <w:szCs w:val="32"/>
        </w:rPr>
        <w:t>（</w:t>
      </w:r>
      <w:r>
        <w:rPr>
          <w:rFonts w:hint="eastAsia" w:ascii="楷体" w:hAnsi="楷体" w:eastAsia="楷体" w:cs="楷体"/>
          <w:szCs w:val="32"/>
          <w:lang w:eastAsia="zh-CN"/>
        </w:rPr>
        <w:t>一</w:t>
      </w:r>
      <w:r>
        <w:rPr>
          <w:rFonts w:hint="eastAsia" w:ascii="楷体" w:hAnsi="楷体" w:eastAsia="楷体" w:cs="楷体"/>
          <w:szCs w:val="32"/>
        </w:rPr>
        <w:t>）</w:t>
      </w:r>
      <w:r>
        <w:rPr>
          <w:rFonts w:hint="eastAsia" w:ascii="楷体" w:hAnsi="楷体" w:eastAsia="楷体" w:cs="楷体"/>
          <w:szCs w:val="32"/>
        </w:rPr>
        <w:tab/>
      </w:r>
      <w:r>
        <w:rPr>
          <w:rFonts w:hint="eastAsia" w:ascii="楷体" w:hAnsi="楷体" w:eastAsia="楷体" w:cs="楷体"/>
          <w:szCs w:val="32"/>
        </w:rPr>
        <w:t>预算执行情况</w:t>
      </w:r>
      <w:r>
        <w:rPr>
          <w:rFonts w:hint="eastAsia" w:ascii="仿宋" w:hAnsi="仿宋"/>
          <w:szCs w:val="32"/>
        </w:rPr>
        <w:t xml:space="preserve">                     </w:t>
      </w:r>
      <w:r>
        <w:rPr>
          <w:rFonts w:hint="eastAsia" w:ascii="仿宋" w:hAnsi="仿宋"/>
          <w:szCs w:val="32"/>
          <w:lang w:val="en-US" w:eastAsia="zh-CN"/>
        </w:rPr>
        <w:t xml:space="preserve">  </w:t>
      </w:r>
      <w:r>
        <w:rPr>
          <w:rFonts w:hint="eastAsia" w:ascii="仿宋" w:hAnsi="仿宋"/>
          <w:szCs w:val="32"/>
        </w:rPr>
        <w:t xml:space="preserve">  </w:t>
      </w:r>
    </w:p>
    <w:p w14:paraId="271CE312">
      <w:pPr>
        <w:spacing w:line="560" w:lineRule="exact"/>
        <w:ind w:firstLine="640" w:firstLineChars="200"/>
        <w:rPr>
          <w:rFonts w:hint="eastAsia" w:ascii="仿宋" w:hAnsi="仿宋" w:eastAsia="仿宋"/>
          <w:szCs w:val="32"/>
          <w:lang w:eastAsia="zh-CN"/>
        </w:rPr>
      </w:pPr>
      <w:r>
        <w:rPr>
          <w:rFonts w:hint="eastAsia" w:ascii="仿宋" w:hAnsi="仿宋" w:eastAsia="仿宋"/>
          <w:szCs w:val="32"/>
          <w:lang w:val="en-US" w:eastAsia="zh-CN"/>
        </w:rPr>
        <w:t>2024年</w:t>
      </w:r>
      <w:r>
        <w:rPr>
          <w:rFonts w:hint="eastAsia" w:ascii="仿宋" w:hAnsi="仿宋"/>
          <w:szCs w:val="32"/>
          <w:lang w:val="en-US" w:eastAsia="zh-CN"/>
        </w:rPr>
        <w:t>数字化城市管理运行经费</w:t>
      </w:r>
      <w:r>
        <w:rPr>
          <w:rFonts w:hint="eastAsia" w:ascii="仿宋" w:hAnsi="仿宋" w:eastAsia="仿宋"/>
          <w:szCs w:val="32"/>
          <w:lang w:val="en-US" w:eastAsia="zh-CN"/>
        </w:rPr>
        <w:t>项目年初预算资金</w:t>
      </w:r>
      <w:r>
        <w:rPr>
          <w:rFonts w:hint="eastAsia" w:ascii="仿宋" w:hAnsi="仿宋"/>
          <w:szCs w:val="32"/>
          <w:lang w:val="en-US" w:eastAsia="zh-CN"/>
        </w:rPr>
        <w:t>1127.27</w:t>
      </w:r>
      <w:r>
        <w:rPr>
          <w:rFonts w:hint="eastAsia" w:ascii="仿宋" w:hAnsi="仿宋" w:eastAsia="仿宋"/>
          <w:szCs w:val="32"/>
          <w:lang w:val="en-US" w:eastAsia="zh-CN"/>
        </w:rPr>
        <w:t>万元，</w:t>
      </w:r>
      <w:r>
        <w:rPr>
          <w:rFonts w:hint="eastAsia" w:ascii="仿宋" w:hAnsi="仿宋"/>
          <w:szCs w:val="32"/>
          <w:lang w:val="en-US" w:eastAsia="zh-CN"/>
        </w:rPr>
        <w:t>调整预算数为1114.11万元，实际支出1109.38万元</w:t>
      </w:r>
      <w:r>
        <w:rPr>
          <w:rFonts w:hint="eastAsia" w:ascii="仿宋" w:hAnsi="仿宋" w:eastAsia="仿宋"/>
          <w:szCs w:val="32"/>
          <w:lang w:val="en-US" w:eastAsia="zh-CN"/>
        </w:rPr>
        <w:t>，预算执行率</w:t>
      </w:r>
      <w:r>
        <w:rPr>
          <w:rFonts w:hint="eastAsia" w:ascii="仿宋" w:hAnsi="仿宋"/>
          <w:szCs w:val="32"/>
          <w:lang w:val="en-US" w:eastAsia="zh-CN"/>
        </w:rPr>
        <w:t>99.58</w:t>
      </w:r>
      <w:r>
        <w:rPr>
          <w:rFonts w:hint="eastAsia" w:ascii="仿宋" w:hAnsi="仿宋" w:eastAsia="仿宋"/>
          <w:szCs w:val="32"/>
          <w:lang w:val="en-US" w:eastAsia="zh-CN"/>
        </w:rPr>
        <w:t>%。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此项满分10分，自评得分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9.96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分。</w:t>
      </w:r>
    </w:p>
    <w:p w14:paraId="11B751BF">
      <w:pPr>
        <w:spacing w:line="560" w:lineRule="exact"/>
        <w:ind w:firstLine="640" w:firstLineChars="200"/>
        <w:rPr>
          <w:rFonts w:hint="eastAsia" w:ascii="仿宋" w:hAnsi="仿宋"/>
          <w:szCs w:val="32"/>
        </w:rPr>
      </w:pPr>
      <w:r>
        <w:rPr>
          <w:rFonts w:hint="eastAsia" w:ascii="楷体" w:hAnsi="楷体" w:eastAsia="楷体" w:cs="楷体"/>
          <w:szCs w:val="32"/>
        </w:rPr>
        <w:t>（</w:t>
      </w:r>
      <w:r>
        <w:rPr>
          <w:rFonts w:hint="eastAsia" w:ascii="楷体" w:hAnsi="楷体" w:eastAsia="楷体" w:cs="楷体"/>
          <w:szCs w:val="32"/>
          <w:lang w:eastAsia="zh-CN"/>
        </w:rPr>
        <w:t>二</w:t>
      </w:r>
      <w:r>
        <w:rPr>
          <w:rFonts w:hint="eastAsia" w:ascii="楷体" w:hAnsi="楷体" w:eastAsia="楷体" w:cs="楷体"/>
          <w:szCs w:val="32"/>
        </w:rPr>
        <w:t>）</w:t>
      </w:r>
      <w:r>
        <w:rPr>
          <w:rFonts w:hint="eastAsia" w:ascii="楷体" w:hAnsi="楷体" w:eastAsia="楷体" w:cs="楷体"/>
          <w:szCs w:val="32"/>
        </w:rPr>
        <w:tab/>
      </w:r>
      <w:r>
        <w:rPr>
          <w:rFonts w:hint="eastAsia" w:ascii="楷体" w:hAnsi="楷体" w:eastAsia="楷体" w:cs="楷体"/>
          <w:szCs w:val="32"/>
          <w:lang w:eastAsia="zh-CN"/>
        </w:rPr>
        <w:t>项目产出</w:t>
      </w:r>
      <w:r>
        <w:rPr>
          <w:rFonts w:hint="eastAsia" w:ascii="仿宋" w:hAnsi="仿宋"/>
          <w:szCs w:val="32"/>
          <w:lang w:val="en-US" w:eastAsia="zh-CN"/>
        </w:rPr>
        <w:t xml:space="preserve">               </w:t>
      </w:r>
      <w:r>
        <w:rPr>
          <w:rFonts w:hint="eastAsia" w:ascii="仿宋" w:hAnsi="仿宋"/>
          <w:szCs w:val="32"/>
        </w:rPr>
        <w:t xml:space="preserve">           </w:t>
      </w:r>
    </w:p>
    <w:p w14:paraId="380679DB">
      <w:pPr>
        <w:spacing w:line="560" w:lineRule="exact"/>
        <w:ind w:firstLine="640" w:firstLineChars="200"/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/>
          <w:szCs w:val="32"/>
          <w:lang w:val="en-US" w:eastAsia="zh-CN"/>
        </w:rPr>
        <w:t>数量指标1“日均上报案卷量≥3000件”，通过调取</w:t>
      </w:r>
      <w:r>
        <w:rPr>
          <w:rFonts w:hint="eastAsia" w:ascii="仿宋" w:hAnsi="仿宋"/>
          <w:szCs w:val="32"/>
          <w:highlight w:val="none"/>
        </w:rPr>
        <w:t>数字城管监督指挥系统平台运行数据</w:t>
      </w:r>
      <w:r>
        <w:rPr>
          <w:rFonts w:hint="eastAsia" w:ascii="仿宋" w:hAnsi="仿宋"/>
          <w:szCs w:val="32"/>
          <w:highlight w:val="none"/>
          <w:lang w:eastAsia="zh-CN"/>
        </w:rPr>
        <w:t>和相关工作数据，经统计</w:t>
      </w:r>
      <w:r>
        <w:rPr>
          <w:rFonts w:hint="eastAsia" w:ascii="仿宋" w:hAnsi="仿宋"/>
          <w:szCs w:val="32"/>
          <w:highlight w:val="none"/>
          <w:lang w:val="en-US" w:eastAsia="zh-CN"/>
        </w:rPr>
        <w:t>2024年数字城管</w:t>
      </w:r>
      <w:r>
        <w:rPr>
          <w:rFonts w:hint="eastAsia" w:ascii="仿宋" w:hAnsi="仿宋"/>
          <w:szCs w:val="32"/>
          <w:lang w:val="en-US" w:eastAsia="zh-CN"/>
        </w:rPr>
        <w:t>日均上报案卷量3117件。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此项满分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分，自评得分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分。</w:t>
      </w:r>
    </w:p>
    <w:p w14:paraId="347FDE25">
      <w:pPr>
        <w:spacing w:line="560" w:lineRule="exact"/>
        <w:ind w:firstLine="640" w:firstLineChars="200"/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数量指标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“日常巡查频次≥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2次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”，通过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统计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相关工作数据，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得出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2024年数字城管日常巡查频次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为3次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。此项满分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分，自评得分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分。</w:t>
      </w:r>
    </w:p>
    <w:p w14:paraId="722DABDA">
      <w:pPr>
        <w:spacing w:line="560" w:lineRule="exact"/>
        <w:ind w:firstLine="640" w:firstLineChars="200"/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数量指标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“日巡查长度≥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7公里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”，通过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统计相关工作数据，2024年日巡查长度为13公里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。此项满分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分，自评得分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分。</w:t>
      </w:r>
    </w:p>
    <w:p w14:paraId="6FAA3BDE">
      <w:pPr>
        <w:spacing w:line="560" w:lineRule="exact"/>
        <w:ind w:firstLine="640" w:firstLineChars="200"/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数量指标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“日巡查人次≥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385人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”，通过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统计相关工作数据，2024年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日巡查人次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为402人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。此项满分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分，自评得分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分。</w:t>
      </w:r>
    </w:p>
    <w:p w14:paraId="3314ABD6">
      <w:pPr>
        <w:spacing w:line="560" w:lineRule="exact"/>
        <w:ind w:firstLine="640" w:firstLineChars="200"/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数量指标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“线路维护服务次数≥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2人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”，通过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统计相关工作数据，2024年线路正常开展维护，共开展两次。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此项满分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分，自评得分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分。</w:t>
      </w:r>
    </w:p>
    <w:p w14:paraId="34AAC401">
      <w:pPr>
        <w:spacing w:line="560" w:lineRule="exact"/>
        <w:ind w:firstLine="640" w:firstLineChars="200"/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质量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指标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“故障次数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≤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3次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”，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经查，2024年未发生线路故障。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此项满分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分，自评得分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分。</w:t>
      </w:r>
    </w:p>
    <w:p w14:paraId="33065554">
      <w:pPr>
        <w:spacing w:line="560" w:lineRule="exact"/>
        <w:ind w:firstLine="640" w:firstLineChars="200"/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质量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指标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“购置设备验收通过率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100%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”，通过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统计相关工作数据，2024年采购的城管智信通手机、指挥中心云桌面软硬件、监督员工作（执法）记录仪、指挥中心LED大屏均验收通过，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购置设备验收通过率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达100%。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此项满分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分，自评得分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分。</w:t>
      </w:r>
    </w:p>
    <w:p w14:paraId="7BE407D9">
      <w:pPr>
        <w:spacing w:line="560" w:lineRule="exact"/>
        <w:ind w:firstLine="640" w:firstLineChars="200"/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时效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指标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“专项普查按时完成率≥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95%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”，通过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统计相关工作数据，2024年先后组织路灯标识橱窗LED、落地标识门头牌匾、工程围挡、地道桥通道及周边、充电柜充电桩、户外大型广告等13项专项普查排查统计工作，均按照上级要求，在规定时间内完成，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专项普查按时完成率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达100%。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此项满分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分，自评得分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分。</w:t>
      </w:r>
    </w:p>
    <w:p w14:paraId="450BC5B1">
      <w:pPr>
        <w:spacing w:line="560" w:lineRule="exact"/>
        <w:ind w:firstLine="640" w:firstLineChars="200"/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成本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指标“预算成本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≤1127.21万元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”，</w:t>
      </w:r>
      <w:r>
        <w:rPr>
          <w:rFonts w:hint="eastAsia" w:ascii="仿宋" w:hAnsi="仿宋"/>
          <w:szCs w:val="32"/>
          <w:lang w:val="en-US" w:eastAsia="zh-CN"/>
        </w:rPr>
        <w:t>实际支出1109.38万元</w:t>
      </w:r>
      <w:r>
        <w:rPr>
          <w:rFonts w:hint="eastAsia" w:ascii="仿宋" w:hAnsi="仿宋" w:eastAsia="仿宋"/>
          <w:szCs w:val="32"/>
          <w:lang w:val="en-US" w:eastAsia="zh-CN"/>
        </w:rPr>
        <w:t>，</w:t>
      </w:r>
      <w:r>
        <w:rPr>
          <w:rFonts w:hint="eastAsia" w:ascii="仿宋" w:hAnsi="仿宋"/>
          <w:szCs w:val="32"/>
          <w:lang w:val="en-US" w:eastAsia="zh-CN"/>
        </w:rPr>
        <w:t>在预算控制范围内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此项满分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分，自评得分</w:t>
      </w: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分。</w:t>
      </w:r>
    </w:p>
    <w:p w14:paraId="06399B3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产出指标满分40分，</w:t>
      </w:r>
      <w:bookmarkStart w:id="0" w:name="_GoBack"/>
      <w:bookmarkEnd w:id="0"/>
      <w:r>
        <w:rPr>
          <w:rFonts w:hint="eastAsia" w:ascii="仿宋" w:hAnsi="仿宋" w:cs="黑体"/>
          <w:i w:val="0"/>
          <w:iCs w:val="0"/>
          <w:kern w:val="2"/>
          <w:sz w:val="32"/>
          <w:szCs w:val="32"/>
          <w:lang w:val="en-US" w:eastAsia="zh-CN" w:bidi="ar-SA"/>
        </w:rPr>
        <w:t>自评得分40分。</w:t>
      </w:r>
    </w:p>
    <w:p w14:paraId="5A704BB6">
      <w:pPr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</w:t>
      </w:r>
      <w:r>
        <w:rPr>
          <w:rFonts w:hint="eastAsia" w:ascii="楷体" w:hAnsi="楷体" w:eastAsia="楷体" w:cs="楷体"/>
          <w:sz w:val="32"/>
          <w:szCs w:val="32"/>
        </w:rPr>
        <w:tab/>
      </w:r>
      <w:r>
        <w:rPr>
          <w:rFonts w:hint="eastAsia" w:ascii="楷体" w:hAnsi="楷体" w:eastAsia="楷体" w:cs="楷体"/>
          <w:sz w:val="32"/>
          <w:szCs w:val="32"/>
        </w:rPr>
        <w:t>项目效益</w:t>
      </w:r>
    </w:p>
    <w:p w14:paraId="5E622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/>
          <w:szCs w:val="32"/>
          <w:lang w:eastAsia="zh-CN"/>
        </w:rPr>
      </w:pPr>
      <w:r>
        <w:rPr>
          <w:rFonts w:hint="eastAsia" w:ascii="仿宋" w:hAnsi="仿宋"/>
          <w:szCs w:val="32"/>
          <w:lang w:eastAsia="zh-CN"/>
        </w:rPr>
        <w:t>社会效益，数字城管巡查采集工作水平较上年有所提高，2024年全年，监督员上报的112.20万多件案卷中，直接涉及市民出行安全类问题有道路破损8362件、道路积水2423件、路面塌陷3759件、架空线缆问题5624件、井盖问题18600件，树木倾倒折断8759件、管道问题1544件，均派遣责任部门及时妥善处置，降低公众人身和财产损失，防止和降低恶性事件发生，数字城管巡查采集工作水平较上年有所提高。</w:t>
      </w:r>
    </w:p>
    <w:p w14:paraId="28A78D6F">
      <w:pPr>
        <w:pStyle w:val="2"/>
        <w:rPr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效益指标满分40分，自评得分40分。</w:t>
      </w:r>
    </w:p>
    <w:p w14:paraId="7DD0A079">
      <w:pPr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（四）满意度</w:t>
      </w:r>
    </w:p>
    <w:p w14:paraId="6B09F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/>
          <w:szCs w:val="32"/>
          <w:lang w:val="en-US" w:eastAsia="zh-CN"/>
        </w:rPr>
      </w:pPr>
      <w:r>
        <w:rPr>
          <w:rFonts w:hint="eastAsia" w:ascii="仿宋" w:hAnsi="仿宋"/>
          <w:szCs w:val="32"/>
          <w:lang w:eastAsia="zh-CN"/>
        </w:rPr>
        <w:t>服务对象满意度指标，“服务对象满意度≥</w:t>
      </w:r>
      <w:r>
        <w:rPr>
          <w:rFonts w:hint="eastAsia" w:ascii="仿宋" w:hAnsi="仿宋"/>
          <w:szCs w:val="32"/>
          <w:lang w:val="en-US" w:eastAsia="zh-CN"/>
        </w:rPr>
        <w:t>85</w:t>
      </w:r>
      <w:r>
        <w:rPr>
          <w:rFonts w:hint="eastAsia" w:ascii="仿宋" w:hAnsi="仿宋"/>
          <w:szCs w:val="32"/>
          <w:lang w:eastAsia="zh-CN"/>
        </w:rPr>
        <w:t>%”。</w:t>
      </w:r>
      <w:r>
        <w:rPr>
          <w:rFonts w:hint="eastAsia" w:ascii="仿宋" w:hAnsi="仿宋"/>
          <w:szCs w:val="32"/>
          <w:lang w:val="en-US" w:eastAsia="zh-CN"/>
        </w:rPr>
        <w:t>经过问卷调查得出，满意度结果为95%，满足预期指标。</w:t>
      </w:r>
    </w:p>
    <w:p w14:paraId="40FCB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/>
          <w:szCs w:val="32"/>
          <w:lang w:eastAsia="zh-CN"/>
        </w:rPr>
      </w:pPr>
      <w:r>
        <w:rPr>
          <w:rFonts w:hint="eastAsia" w:ascii="仿宋" w:hAnsi="仿宋"/>
          <w:szCs w:val="32"/>
          <w:lang w:val="en-US" w:eastAsia="zh-CN"/>
        </w:rPr>
        <w:t>满意度指标满分10分，自评得分10分。</w:t>
      </w:r>
    </w:p>
    <w:p w14:paraId="6A149A06">
      <w:pPr>
        <w:spacing w:line="560" w:lineRule="exact"/>
        <w:ind w:firstLine="640" w:firstLineChars="200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四、项目综合评价结论和评价等级</w:t>
      </w:r>
    </w:p>
    <w:p w14:paraId="6C373946">
      <w:pPr>
        <w:spacing w:line="560" w:lineRule="exact"/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项目整体运行平稳，社会经济效益显著，总体得分</w:t>
      </w:r>
      <w:r>
        <w:rPr>
          <w:rFonts w:hint="eastAsia" w:ascii="仿宋" w:hAnsi="仿宋"/>
          <w:szCs w:val="32"/>
          <w:lang w:val="en-US" w:eastAsia="zh-CN"/>
        </w:rPr>
        <w:t>99.96</w:t>
      </w:r>
      <w:r>
        <w:rPr>
          <w:rFonts w:hint="eastAsia" w:ascii="仿宋" w:hAnsi="仿宋"/>
          <w:szCs w:val="32"/>
        </w:rPr>
        <w:t>分，得分评价为优秀。</w:t>
      </w:r>
    </w:p>
    <w:p w14:paraId="2BFD43C9">
      <w:pPr>
        <w:spacing w:line="560" w:lineRule="exact"/>
        <w:ind w:firstLine="640" w:firstLineChars="200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五、存在的问题及改进措施</w:t>
      </w:r>
    </w:p>
    <w:p w14:paraId="6792F714">
      <w:pPr>
        <w:spacing w:line="560" w:lineRule="exact"/>
        <w:ind w:firstLine="640" w:firstLineChars="200"/>
        <w:rPr>
          <w:rFonts w:hint="eastAsia" w:ascii="楷体" w:hAnsi="楷体" w:eastAsia="楷体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Cs/>
          <w:sz w:val="32"/>
          <w:szCs w:val="32"/>
        </w:rPr>
        <w:t>（一）项目存在的主要问题</w:t>
      </w:r>
      <w:r>
        <w:rPr>
          <w:rFonts w:hint="eastAsia" w:ascii="楷体" w:hAnsi="楷体" w:eastAsia="楷体"/>
          <w:bCs/>
          <w:sz w:val="32"/>
          <w:szCs w:val="32"/>
          <w:lang w:val="en-US" w:eastAsia="zh-CN"/>
        </w:rPr>
        <w:t xml:space="preserve"> </w:t>
      </w:r>
    </w:p>
    <w:p w14:paraId="4BC32EC2">
      <w:pPr>
        <w:spacing w:line="560" w:lineRule="exact"/>
        <w:ind w:firstLine="640" w:firstLineChars="200"/>
        <w:rPr>
          <w:rFonts w:hint="default" w:eastAsia="楷体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预算执行率略低，因市场变化和采购需求，据实支付资金，实际支出稍低于预算金额。</w:t>
      </w:r>
    </w:p>
    <w:p w14:paraId="2959F5CD">
      <w:pPr>
        <w:spacing w:line="560" w:lineRule="exact"/>
        <w:ind w:firstLine="640" w:firstLineChars="200"/>
        <w:rPr>
          <w:rFonts w:hint="eastAsia" w:ascii="楷体" w:hAnsi="楷体" w:eastAsia="楷体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Cs/>
          <w:sz w:val="32"/>
          <w:szCs w:val="32"/>
        </w:rPr>
        <w:t>（二）针对问题提出具体的改进措施或建议</w:t>
      </w:r>
      <w:r>
        <w:rPr>
          <w:rFonts w:hint="eastAsia" w:ascii="楷体" w:hAnsi="楷体" w:eastAsia="楷体"/>
          <w:bCs/>
          <w:sz w:val="32"/>
          <w:szCs w:val="32"/>
          <w:lang w:val="en-US" w:eastAsia="zh-CN"/>
        </w:rPr>
        <w:t xml:space="preserve"> </w:t>
      </w:r>
    </w:p>
    <w:p w14:paraId="5B36BB8E">
      <w:pPr>
        <w:spacing w:line="560" w:lineRule="exact"/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下一步将严格按照支出计划执行，切实提高资金支付进度。</w:t>
      </w:r>
    </w:p>
    <w:sectPr>
      <w:pgSz w:w="11906" w:h="16838"/>
      <w:pgMar w:top="2098" w:right="1358" w:bottom="1985" w:left="1588" w:header="851" w:footer="992" w:gutter="0"/>
      <w:cols w:space="425" w:num="1"/>
      <w:docGrid w:type="linesAndChar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58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F1"/>
    <w:rsid w:val="00070F48"/>
    <w:rsid w:val="000E78FB"/>
    <w:rsid w:val="00121544"/>
    <w:rsid w:val="00130D45"/>
    <w:rsid w:val="001B4EEB"/>
    <w:rsid w:val="001E257A"/>
    <w:rsid w:val="002523A1"/>
    <w:rsid w:val="00275BC1"/>
    <w:rsid w:val="003E52F1"/>
    <w:rsid w:val="003E7C34"/>
    <w:rsid w:val="004067A7"/>
    <w:rsid w:val="00472C95"/>
    <w:rsid w:val="00560971"/>
    <w:rsid w:val="00765C8F"/>
    <w:rsid w:val="00770EB1"/>
    <w:rsid w:val="00827969"/>
    <w:rsid w:val="008426CF"/>
    <w:rsid w:val="008B34F1"/>
    <w:rsid w:val="009B2B05"/>
    <w:rsid w:val="00A635E5"/>
    <w:rsid w:val="00A80A37"/>
    <w:rsid w:val="00AB1DB5"/>
    <w:rsid w:val="00AC5111"/>
    <w:rsid w:val="00BA3DD8"/>
    <w:rsid w:val="00BC5726"/>
    <w:rsid w:val="00DF2C95"/>
    <w:rsid w:val="00ED63B7"/>
    <w:rsid w:val="00F06850"/>
    <w:rsid w:val="00F55641"/>
    <w:rsid w:val="00F76957"/>
    <w:rsid w:val="010D0162"/>
    <w:rsid w:val="011B21FF"/>
    <w:rsid w:val="06E71532"/>
    <w:rsid w:val="0C852B16"/>
    <w:rsid w:val="0DDB682E"/>
    <w:rsid w:val="105E59D1"/>
    <w:rsid w:val="11E24A0B"/>
    <w:rsid w:val="19514B25"/>
    <w:rsid w:val="25601E16"/>
    <w:rsid w:val="267428A4"/>
    <w:rsid w:val="27F70287"/>
    <w:rsid w:val="28594A5A"/>
    <w:rsid w:val="2FD24969"/>
    <w:rsid w:val="303F18D9"/>
    <w:rsid w:val="310044F1"/>
    <w:rsid w:val="37DF5322"/>
    <w:rsid w:val="3BB80425"/>
    <w:rsid w:val="3D6473C6"/>
    <w:rsid w:val="3E041CAB"/>
    <w:rsid w:val="3F2673FA"/>
    <w:rsid w:val="3F455E9C"/>
    <w:rsid w:val="413B7A6D"/>
    <w:rsid w:val="42043319"/>
    <w:rsid w:val="42425433"/>
    <w:rsid w:val="53D53D51"/>
    <w:rsid w:val="5F0619EB"/>
    <w:rsid w:val="60C529B2"/>
    <w:rsid w:val="63A96660"/>
    <w:rsid w:val="65515CED"/>
    <w:rsid w:val="6764746E"/>
    <w:rsid w:val="69E421A0"/>
    <w:rsid w:val="6F5E0F63"/>
    <w:rsid w:val="704716DB"/>
    <w:rsid w:val="70BC4AA0"/>
    <w:rsid w:val="76C00F46"/>
    <w:rsid w:val="783D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qFormat="1" w:unhideWhenUsed="0" w:uiPriority="0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</w:style>
  <w:style w:type="paragraph" w:styleId="3">
    <w:name w:val="Body Text Indent"/>
    <w:basedOn w:val="1"/>
    <w:next w:val="4"/>
    <w:qFormat/>
    <w:uiPriority w:val="0"/>
    <w:pPr>
      <w:ind w:left="420" w:leftChars="200"/>
    </w:pPr>
    <w:rPr>
      <w:rFonts w:ascii="Times New Roman" w:hAnsi="Times New Roman" w:eastAsia="宋体" w:cs="Times New Roman"/>
    </w:rPr>
  </w:style>
  <w:style w:type="paragraph" w:styleId="4">
    <w:name w:val="Subtitle"/>
    <w:basedOn w:val="1"/>
    <w:next w:val="1"/>
    <w:qFormat/>
    <w:uiPriority w:val="0"/>
    <w:pPr>
      <w:spacing w:line="700" w:lineRule="exact"/>
      <w:jc w:val="center"/>
      <w:outlineLvl w:val="1"/>
    </w:pPr>
    <w:rPr>
      <w:rFonts w:ascii="Arial" w:hAnsi="Arial" w:eastAsia="方正小标宋简体" w:cs="Arial"/>
      <w:b/>
      <w:bCs/>
      <w:kern w:val="28"/>
      <w:sz w:val="44"/>
      <w:szCs w:val="44"/>
    </w:rPr>
  </w:style>
  <w:style w:type="paragraph" w:styleId="5">
    <w:name w:val="toc 3"/>
    <w:basedOn w:val="1"/>
    <w:next w:val="1"/>
    <w:qFormat/>
    <w:uiPriority w:val="0"/>
    <w:pPr>
      <w:ind w:left="420"/>
    </w:pPr>
    <w:rPr>
      <w:rFonts w:ascii="Times New Roman" w:hAnsi="Times New Roman"/>
      <w:i/>
      <w:iCs/>
      <w:sz w:val="20"/>
    </w:r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字符"/>
    <w:basedOn w:val="9"/>
    <w:link w:val="7"/>
    <w:qFormat/>
    <w:uiPriority w:val="99"/>
    <w:rPr>
      <w:rFonts w:eastAsia="仿宋"/>
      <w:sz w:val="18"/>
      <w:szCs w:val="18"/>
    </w:rPr>
  </w:style>
  <w:style w:type="character" w:customStyle="1" w:styleId="11">
    <w:name w:val="页脚 字符"/>
    <w:basedOn w:val="9"/>
    <w:link w:val="6"/>
    <w:qFormat/>
    <w:uiPriority w:val="99"/>
    <w:rPr>
      <w:rFonts w:eastAsia="仿宋"/>
      <w:sz w:val="18"/>
      <w:szCs w:val="18"/>
    </w:rPr>
  </w:style>
  <w:style w:type="paragraph" w:customStyle="1" w:styleId="12">
    <w:name w:val="Body text|1"/>
    <w:basedOn w:val="1"/>
    <w:qFormat/>
    <w:uiPriority w:val="0"/>
    <w:pPr>
      <w:spacing w:line="413" w:lineRule="auto"/>
      <w:ind w:firstLine="400"/>
      <w:jc w:val="left"/>
    </w:pPr>
    <w:rPr>
      <w:rFonts w:ascii="宋体" w:hAnsi="宋体" w:eastAsia="宋体" w:cs="宋体"/>
      <w:color w:val="000000"/>
      <w:kern w:val="0"/>
      <w:sz w:val="30"/>
      <w:szCs w:val="30"/>
      <w:lang w:val="zh-TW" w:eastAsia="zh-TW" w:bidi="zh-TW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font2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2326</Words>
  <Characters>2527</Characters>
  <Lines>15</Lines>
  <Paragraphs>4</Paragraphs>
  <TotalTime>9</TotalTime>
  <ScaleCrop>false</ScaleCrop>
  <LinksUpToDate>false</LinksUpToDate>
  <CharactersWithSpaces>2583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2024-03-25T08:49:00Z</dcterms:created>
  <dc:creator>冯 帆</dc:creator>
  <cp:lastModifiedBy>。。。</cp:lastModifiedBy>
  <dcterms:modified xsi:type="dcterms:W3CDTF">2025-03-29T19:24:13Z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5C838A01D28F42E8A3F9B5BA8310F09D_13</vt:lpwstr>
  </property>
  <property fmtid="{D5CDD505-2E9C-101B-9397-08002B2CF9AE}" pid="4" name="KSOTemplateDocerSaveRecord">
    <vt:lpwstr>eyJoZGlkIjoiYjg3YjZkMDZiMTdkMmI2NjRlZDc4NzhjNTZmMTc0YzgiLCJ1c2VySWQiOiI0MDA1Mzk4NDcifQ==</vt:lpwstr>
  </property>
</Properties>
</file>